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2-23-1902/2024</w:t>
      </w:r>
    </w:p>
    <w:p>
      <w:pPr>
        <w:keepNext/>
        <w:spacing w:before="0" w:after="0"/>
        <w:jc w:val="right"/>
      </w:pP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город 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Мегионского судебного района Ханты - Мансийского автономного округа - Югры Артюх О.П., при секретаре Гасанбековой М.А.,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исковому заявлению общества с ограниченной ответственностью «АйДи Коллект»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Варанкину Николаю Владимировичу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Исковое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«АйДи Коллект»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Варанкину Николаю Владимировичу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</w:t>
      </w:r>
      <w:r>
        <w:rPr>
          <w:rFonts w:ascii="Times New Roman" w:eastAsia="Times New Roman" w:hAnsi="Times New Roman" w:cs="Times New Roman"/>
          <w:sz w:val="28"/>
          <w:szCs w:val="28"/>
        </w:rPr>
        <w:t>говору займа,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 - удовлетворить.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Варанкина Николая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общества с ограниченной ответственностью «АйДи Коллект», ОГРН 1177746355225,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11063165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24.06.2021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риод с </w:t>
      </w:r>
      <w:r>
        <w:rPr>
          <w:rFonts w:ascii="Times New Roman" w:eastAsia="Times New Roman" w:hAnsi="Times New Roman" w:cs="Times New Roman"/>
          <w:sz w:val="28"/>
          <w:szCs w:val="28"/>
        </w:rPr>
        <w:t>10.08.2021 года по 12.02.2023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16 673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sz w:val="28"/>
          <w:szCs w:val="28"/>
        </w:rPr>
        <w:t>бля 00 копеек, в том числе 7 406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 копейки основной долг, 9 266 рублей 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проценты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 92 копейки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почтовые расходы в размере 74 рубля 40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17 414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(семнадцать тысяч четыреста четырнадцать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копейки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Мегионский городской суд Ханты-Мансийского автономного округа – Югры в течение месяца со дня принятия решения в окончательной форме, путем </w:t>
      </w:r>
      <w:r>
        <w:rPr>
          <w:rFonts w:ascii="Times New Roman" w:eastAsia="Times New Roman" w:hAnsi="Times New Roman" w:cs="Times New Roman"/>
          <w:sz w:val="28"/>
          <w:szCs w:val="28"/>
        </w:rPr>
        <w:t>подачи апелляционной жалобы мировому судье судебного участка № 2 Мегионского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 М.А. 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09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5374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2rplc-12">
    <w:name w:val="cat-PassportData grp-22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46C35-6427-4E4C-AAC2-63313434096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